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C5A7C" w14:textId="12EB4164" w:rsidR="00281D5A" w:rsidRPr="001114D6" w:rsidRDefault="007F2F6E" w:rsidP="00B2622A">
      <w:pPr>
        <w:pStyle w:val="Heading1"/>
        <w:rPr>
          <w:color w:val="000000" w:themeColor="text1"/>
        </w:rPr>
      </w:pPr>
      <w:r w:rsidRPr="001114D6">
        <w:rPr>
          <w:color w:val="000000" w:themeColor="text1"/>
        </w:rPr>
        <w:t xml:space="preserve">Types of Places Required to </w:t>
      </w:r>
      <w:r w:rsidR="00B2622A" w:rsidRPr="001114D6">
        <w:rPr>
          <w:color w:val="000000" w:themeColor="text1"/>
        </w:rPr>
        <w:t>Have</w:t>
      </w:r>
      <w:r w:rsidRPr="001114D6">
        <w:rPr>
          <w:color w:val="000000" w:themeColor="text1"/>
        </w:rPr>
        <w:t xml:space="preserve"> an Assistive Listening System under the ADA</w:t>
      </w:r>
    </w:p>
    <w:p w14:paraId="18259D49" w14:textId="77777777" w:rsidR="007F2F6E" w:rsidRPr="001114D6" w:rsidRDefault="007F2F6E" w:rsidP="004C3106">
      <w:pPr>
        <w:rPr>
          <w:color w:val="000000" w:themeColor="text1"/>
        </w:rPr>
      </w:pPr>
    </w:p>
    <w:p w14:paraId="7A453011" w14:textId="55B83DBF" w:rsidR="00281D5A" w:rsidRPr="004C3106" w:rsidRDefault="001F775D" w:rsidP="00B2622A">
      <w:pPr>
        <w:pStyle w:val="Heading2"/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Where Will You Find Assistive Listening Systems?</w:t>
      </w:r>
    </w:p>
    <w:p w14:paraId="7F28C45B" w14:textId="77777777" w:rsidR="001F775D" w:rsidRPr="004C3106" w:rsidRDefault="001F775D" w:rsidP="00B2622A">
      <w:p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Currently, there are thousands of assistive listening systems (hearing loops, FM, and infrared systems) already installed across the United States.</w:t>
      </w:r>
    </w:p>
    <w:p w14:paraId="5A01D217" w14:textId="77777777" w:rsidR="001F775D" w:rsidRPr="004C3106" w:rsidRDefault="001F775D" w:rsidP="00B2622A">
      <w:pPr>
        <w:rPr>
          <w:rFonts w:ascii="Tahoma" w:hAnsi="Tahoma" w:cs="Tahoma"/>
          <w:color w:val="000000" w:themeColor="text1"/>
          <w:sz w:val="31"/>
          <w:szCs w:val="31"/>
        </w:rPr>
      </w:pPr>
    </w:p>
    <w:p w14:paraId="0E3B3CC5" w14:textId="6F2A7CDB" w:rsidR="001F775D" w:rsidRPr="00D34759" w:rsidRDefault="001F775D" w:rsidP="00B2622A">
      <w:p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 xml:space="preserve">Under the Americans with Disabilities Act (ADA), the following places are required </w:t>
      </w:r>
      <w:r w:rsidR="00B15954" w:rsidRPr="004C3106">
        <w:rPr>
          <w:rFonts w:ascii="Tahoma" w:hAnsi="Tahoma" w:cs="Tahoma"/>
          <w:color w:val="000000" w:themeColor="text1"/>
          <w:sz w:val="31"/>
          <w:szCs w:val="31"/>
        </w:rPr>
        <w:t xml:space="preserve">to </w:t>
      </w:r>
      <w:r w:rsidRPr="004C3106">
        <w:rPr>
          <w:rFonts w:ascii="Tahoma" w:hAnsi="Tahoma" w:cs="Tahoma"/>
          <w:color w:val="000000" w:themeColor="text1"/>
          <w:sz w:val="31"/>
          <w:szCs w:val="31"/>
        </w:rPr>
        <w:t xml:space="preserve">have a hearing loop, FM/RF system, or </w:t>
      </w:r>
      <w:r w:rsidRPr="00D34759">
        <w:rPr>
          <w:rFonts w:ascii="Tahoma" w:hAnsi="Tahoma" w:cs="Tahoma"/>
          <w:color w:val="000000" w:themeColor="text1"/>
          <w:sz w:val="31"/>
          <w:szCs w:val="31"/>
        </w:rPr>
        <w:t>infrared system:</w:t>
      </w:r>
    </w:p>
    <w:p w14:paraId="78834E87" w14:textId="77777777" w:rsidR="00D34759" w:rsidRPr="00D34759" w:rsidRDefault="00D34759" w:rsidP="00D34759">
      <w:pPr>
        <w:pStyle w:val="ListParagraph"/>
        <w:numPr>
          <w:ilvl w:val="0"/>
          <w:numId w:val="11"/>
        </w:numPr>
        <w:rPr>
          <w:rFonts w:ascii="Tahoma" w:hAnsi="Tahoma" w:cs="Tahoma"/>
          <w:sz w:val="31"/>
          <w:szCs w:val="31"/>
        </w:rPr>
      </w:pPr>
      <w:r w:rsidRPr="00D34759">
        <w:rPr>
          <w:rFonts w:ascii="Tahoma" w:hAnsi="Tahoma" w:cs="Tahoma"/>
          <w:sz w:val="31"/>
          <w:szCs w:val="31"/>
        </w:rPr>
        <w:t xml:space="preserve">In ALL indoor or outdoor areas or rooms, with a public address system. This also applies to unamplified performances and events - a system shall be provided. These spaces are called “Assembly Areas.” </w:t>
      </w:r>
      <w:hyperlink r:id="rId7" w:anchor="section45" w:history="1">
        <w:r w:rsidRPr="00D34759">
          <w:rPr>
            <w:rStyle w:val="Hyperlink"/>
            <w:rFonts w:ascii="Tahoma" w:hAnsi="Tahoma" w:cs="Tahoma"/>
            <w:sz w:val="31"/>
            <w:szCs w:val="31"/>
          </w:rPr>
          <w:t>ADA Standard 219</w:t>
        </w:r>
      </w:hyperlink>
    </w:p>
    <w:p w14:paraId="60687AB1" w14:textId="77777777" w:rsidR="00D34759" w:rsidRPr="00D34759" w:rsidRDefault="00D34759" w:rsidP="00D34759">
      <w:pPr>
        <w:pStyle w:val="ListParagraph"/>
        <w:numPr>
          <w:ilvl w:val="0"/>
          <w:numId w:val="11"/>
        </w:numPr>
        <w:rPr>
          <w:rFonts w:ascii="Tahoma" w:hAnsi="Tahoma" w:cs="Tahoma"/>
          <w:sz w:val="31"/>
          <w:szCs w:val="31"/>
        </w:rPr>
      </w:pPr>
      <w:r w:rsidRPr="00D34759">
        <w:rPr>
          <w:rFonts w:ascii="Tahoma" w:hAnsi="Tahoma" w:cs="Tahoma"/>
          <w:sz w:val="31"/>
          <w:szCs w:val="31"/>
        </w:rPr>
        <w:t xml:space="preserve">Where </w:t>
      </w:r>
      <w:hyperlink r:id="rId8" w:history="1">
        <w:r w:rsidRPr="00D34759">
          <w:rPr>
            <w:rStyle w:val="Hyperlink"/>
            <w:rFonts w:ascii="Tahoma" w:hAnsi="Tahoma" w:cs="Tahoma"/>
            <w:sz w:val="31"/>
            <w:szCs w:val="31"/>
          </w:rPr>
          <w:t>Effective Communication</w:t>
        </w:r>
      </w:hyperlink>
      <w:r w:rsidRPr="00D34759">
        <w:rPr>
          <w:rFonts w:ascii="Tahoma" w:hAnsi="Tahoma" w:cs="Tahoma"/>
          <w:sz w:val="31"/>
          <w:szCs w:val="31"/>
        </w:rPr>
        <w:t xml:space="preserve"> is needed, such as service counters, rooms without public address systems, etc.</w:t>
      </w:r>
    </w:p>
    <w:p w14:paraId="2337B6A3" w14:textId="77777777" w:rsidR="00D34759" w:rsidRPr="00D34759" w:rsidRDefault="00D34759" w:rsidP="00D34759">
      <w:pPr>
        <w:pStyle w:val="ListParagraph"/>
        <w:numPr>
          <w:ilvl w:val="0"/>
          <w:numId w:val="11"/>
        </w:numPr>
        <w:rPr>
          <w:rFonts w:ascii="Tahoma" w:hAnsi="Tahoma" w:cs="Tahoma"/>
          <w:sz w:val="31"/>
          <w:szCs w:val="31"/>
        </w:rPr>
      </w:pPr>
      <w:r w:rsidRPr="00D34759">
        <w:rPr>
          <w:rFonts w:ascii="Tahoma" w:hAnsi="Tahoma" w:cs="Tahoma"/>
          <w:sz w:val="31"/>
          <w:szCs w:val="31"/>
        </w:rPr>
        <w:t>In all Courtrooms.</w:t>
      </w:r>
    </w:p>
    <w:p w14:paraId="12EB38F2" w14:textId="77777777" w:rsidR="001F775D" w:rsidRPr="004C3106" w:rsidRDefault="001F775D" w:rsidP="00B2622A">
      <w:pPr>
        <w:rPr>
          <w:rFonts w:ascii="Tahoma" w:hAnsi="Tahoma" w:cs="Tahoma"/>
          <w:color w:val="000000" w:themeColor="text1"/>
          <w:sz w:val="31"/>
          <w:szCs w:val="31"/>
        </w:rPr>
      </w:pPr>
    </w:p>
    <w:p w14:paraId="17428194" w14:textId="77777777" w:rsidR="007C73DF" w:rsidRDefault="001F775D" w:rsidP="00B2622A">
      <w:p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Assistive Listening Systems apply to: Title I (employment), Title II entities (state and local governments), and Title III entities (businesses and nonprofit organizations that serve the public).</w:t>
      </w:r>
    </w:p>
    <w:p w14:paraId="43259975" w14:textId="77777777" w:rsidR="007C73DF" w:rsidRDefault="007C73DF" w:rsidP="00B2622A">
      <w:pPr>
        <w:rPr>
          <w:rFonts w:ascii="Tahoma" w:hAnsi="Tahoma" w:cs="Tahoma"/>
          <w:color w:val="000000" w:themeColor="text1"/>
          <w:sz w:val="31"/>
          <w:szCs w:val="31"/>
        </w:rPr>
      </w:pPr>
    </w:p>
    <w:p w14:paraId="494B314E" w14:textId="147CFD31" w:rsidR="008A670C" w:rsidRPr="004C3106" w:rsidRDefault="007C73DF" w:rsidP="00B2622A">
      <w:pPr>
        <w:rPr>
          <w:rFonts w:ascii="Tahoma" w:hAnsi="Tahoma" w:cs="Tahoma"/>
          <w:color w:val="000000" w:themeColor="text1"/>
          <w:sz w:val="31"/>
          <w:szCs w:val="31"/>
        </w:rPr>
      </w:pPr>
      <w:hyperlink r:id="rId9" w:history="1">
        <w:r w:rsidRPr="007C73DF">
          <w:rPr>
            <w:rStyle w:val="Hyperlink"/>
            <w:rFonts w:ascii="Tahoma" w:hAnsi="Tahoma" w:cs="Tahoma"/>
            <w:sz w:val="31"/>
            <w:szCs w:val="31"/>
          </w:rPr>
          <w:t>See ADA Standards.</w:t>
        </w:r>
      </w:hyperlink>
    </w:p>
    <w:p w14:paraId="4BE93121" w14:textId="77777777" w:rsidR="001F775D" w:rsidRPr="004C3106" w:rsidRDefault="001F775D" w:rsidP="00B2622A">
      <w:pPr>
        <w:rPr>
          <w:rFonts w:ascii="Tahoma" w:hAnsi="Tahoma" w:cs="Tahoma"/>
          <w:color w:val="000000" w:themeColor="text1"/>
          <w:sz w:val="31"/>
          <w:szCs w:val="31"/>
        </w:rPr>
      </w:pPr>
    </w:p>
    <w:p w14:paraId="07CEDB06" w14:textId="77777777" w:rsidR="001F775D" w:rsidRPr="004C3106" w:rsidRDefault="001F775D" w:rsidP="00B2622A">
      <w:pPr>
        <w:pStyle w:val="Heading2"/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What Places have Assistive Listening Systems (ALS) requirements?</w:t>
      </w:r>
    </w:p>
    <w:p w14:paraId="339053E1" w14:textId="77777777" w:rsidR="001F775D" w:rsidRPr="004C3106" w:rsidRDefault="001F775D" w:rsidP="00B2622A">
      <w:pPr>
        <w:pStyle w:val="ListParagraph"/>
        <w:numPr>
          <w:ilvl w:val="0"/>
          <w:numId w:val="12"/>
        </w:numPr>
        <w:rPr>
          <w:rFonts w:ascii="Tahoma" w:hAnsi="Tahoma" w:cs="Tahoma"/>
          <w:color w:val="000000" w:themeColor="text1"/>
          <w:sz w:val="31"/>
          <w:szCs w:val="31"/>
        </w:rPr>
        <w:sectPr w:rsidR="001F775D" w:rsidRPr="004C3106" w:rsidSect="004C3106">
          <w:headerReference w:type="first" r:id="rId10"/>
          <w:pgSz w:w="12240" w:h="15840"/>
          <w:pgMar w:top="1080" w:right="1440" w:bottom="1080" w:left="1440" w:header="720" w:footer="720" w:gutter="0"/>
          <w:cols w:space="720"/>
          <w:titlePg/>
          <w:docGrid w:linePitch="360"/>
        </w:sectPr>
      </w:pPr>
    </w:p>
    <w:p w14:paraId="74F9A493" w14:textId="64A5824F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 xml:space="preserve">amphitheaters </w:t>
      </w:r>
    </w:p>
    <w:p w14:paraId="282B8BA6" w14:textId="031D22E1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arenas ​</w:t>
      </w:r>
    </w:p>
    <w:p w14:paraId="299916AE" w14:textId="489EFCBA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auditoria ​</w:t>
      </w:r>
    </w:p>
    <w:p w14:paraId="7107CD9A" w14:textId="66659C8D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classrooms ​</w:t>
      </w:r>
    </w:p>
    <w:p w14:paraId="53677638" w14:textId="085023E1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concert halls​</w:t>
      </w:r>
    </w:p>
    <w:p w14:paraId="432F2420" w14:textId="7FE83F65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convention centers​</w:t>
      </w:r>
    </w:p>
    <w:p w14:paraId="78D9392F" w14:textId="330EF2D7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courtrooms ​</w:t>
      </w:r>
    </w:p>
    <w:p w14:paraId="4073B604" w14:textId="55DEC783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dinner theaters ​</w:t>
      </w:r>
    </w:p>
    <w:p w14:paraId="321A7E43" w14:textId="61ED103F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lastRenderedPageBreak/>
        <w:t>grandstands ​</w:t>
      </w:r>
    </w:p>
    <w:p w14:paraId="3D6A9CC4" w14:textId="5272A77B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lecture halls ​</w:t>
      </w:r>
    </w:p>
    <w:p w14:paraId="3E0CEF88" w14:textId="75F6376E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legislative chambers ​</w:t>
      </w:r>
    </w:p>
    <w:p w14:paraId="114E1691" w14:textId="74A04A18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 xml:space="preserve">motion picture houses </w:t>
      </w:r>
    </w:p>
    <w:p w14:paraId="392B2934" w14:textId="62EF54EA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performing arts centers ​</w:t>
      </w:r>
    </w:p>
    <w:p w14:paraId="47D88156" w14:textId="346A4F46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playhouses ​</w:t>
      </w:r>
    </w:p>
    <w:p w14:paraId="57E6AB17" w14:textId="6106CF48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public hearing rooms​</w:t>
      </w:r>
    </w:p>
    <w:p w14:paraId="473E6BF2" w14:textId="1C356A6E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public meeting rooms ​</w:t>
      </w:r>
    </w:p>
    <w:p w14:paraId="40BFED8B" w14:textId="02C21221" w:rsidR="001F775D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stadiums ​</w:t>
      </w:r>
    </w:p>
    <w:p w14:paraId="62D985DF" w14:textId="09BB71A9" w:rsidR="00281D5A" w:rsidRPr="004C3106" w:rsidRDefault="001F775D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theaters</w:t>
      </w:r>
    </w:p>
    <w:p w14:paraId="42EEB32F" w14:textId="77777777" w:rsidR="001F775D" w:rsidRPr="004C3106" w:rsidRDefault="001F775D" w:rsidP="00B2622A">
      <w:pPr>
        <w:pStyle w:val="Heading2"/>
        <w:rPr>
          <w:rFonts w:ascii="Tahoma" w:hAnsi="Tahoma" w:cs="Tahoma"/>
          <w:color w:val="000000" w:themeColor="text1"/>
          <w:sz w:val="31"/>
          <w:szCs w:val="31"/>
        </w:rPr>
        <w:sectPr w:rsidR="001F775D" w:rsidRPr="004C3106" w:rsidSect="004C3106">
          <w:type w:val="continuous"/>
          <w:pgSz w:w="12240" w:h="15840"/>
          <w:pgMar w:top="1080" w:right="1440" w:bottom="1080" w:left="1440" w:header="720" w:footer="720" w:gutter="0"/>
          <w:cols w:space="216"/>
          <w:titlePg/>
          <w:docGrid w:linePitch="360"/>
        </w:sectPr>
      </w:pPr>
    </w:p>
    <w:p w14:paraId="3826F4F3" w14:textId="77777777" w:rsidR="001F775D" w:rsidRPr="004C3106" w:rsidRDefault="001F775D" w:rsidP="00B2622A">
      <w:pPr>
        <w:rPr>
          <w:rFonts w:ascii="Tahoma" w:hAnsi="Tahoma" w:cs="Tahoma"/>
          <w:color w:val="000000" w:themeColor="text1"/>
          <w:sz w:val="31"/>
          <w:szCs w:val="31"/>
        </w:rPr>
      </w:pPr>
    </w:p>
    <w:p w14:paraId="5B8318FD" w14:textId="103316E2" w:rsidR="00281D5A" w:rsidRPr="004C3106" w:rsidRDefault="002C58CE" w:rsidP="00B2622A">
      <w:pPr>
        <w:pStyle w:val="Heading2"/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Other Places</w:t>
      </w:r>
    </w:p>
    <w:p w14:paraId="409CF387" w14:textId="486682C0" w:rsidR="002C58CE" w:rsidRPr="004C3106" w:rsidRDefault="002C58CE" w:rsidP="00B2622A">
      <w:p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While not specifically named in the ADA, these facilities/sites may have assembly areas. Or they may be an area for Effective Communication under the ADA.</w:t>
      </w:r>
    </w:p>
    <w:p w14:paraId="0D9D4F6D" w14:textId="77777777" w:rsidR="00517E39" w:rsidRPr="004C3106" w:rsidRDefault="00517E39" w:rsidP="00B2622A">
      <w:pPr>
        <w:pStyle w:val="ListParagraph"/>
        <w:numPr>
          <w:ilvl w:val="0"/>
          <w:numId w:val="13"/>
        </w:numPr>
        <w:rPr>
          <w:rFonts w:ascii="Tahoma" w:hAnsi="Tahoma" w:cs="Tahoma"/>
          <w:color w:val="000000" w:themeColor="text1"/>
          <w:sz w:val="31"/>
          <w:szCs w:val="31"/>
        </w:rPr>
        <w:sectPr w:rsidR="00517E39" w:rsidRPr="004C3106" w:rsidSect="004C3106">
          <w:type w:val="continuous"/>
          <w:pgSz w:w="12240" w:h="15840"/>
          <w:pgMar w:top="1080" w:right="1440" w:bottom="1080" w:left="1440" w:header="720" w:footer="720" w:gutter="0"/>
          <w:cols w:space="720"/>
          <w:titlePg/>
          <w:docGrid w:linePitch="360"/>
        </w:sectPr>
      </w:pPr>
    </w:p>
    <w:p w14:paraId="4007D4F5" w14:textId="2F0D7CC6" w:rsidR="00517E39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airport gate waiting areas</w:t>
      </w:r>
    </w:p>
    <w:p w14:paraId="5086C089" w14:textId="7512F61C" w:rsidR="005B5D17" w:rsidRPr="004C3106" w:rsidRDefault="005B5D17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>
        <w:rPr>
          <w:rFonts w:ascii="Tahoma" w:hAnsi="Tahoma" w:cs="Tahoma"/>
          <w:color w:val="000000" w:themeColor="text1"/>
          <w:sz w:val="31"/>
          <w:szCs w:val="31"/>
        </w:rPr>
        <w:t>board meetings</w:t>
      </w:r>
    </w:p>
    <w:p w14:paraId="07818CC1" w14:textId="19E81A8F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comedy clubs</w:t>
      </w:r>
    </w:p>
    <w:p w14:paraId="1001821C" w14:textId="13135FC5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community rooms, e.g., fire and police station</w:t>
      </w:r>
      <w:r w:rsidR="006D376B" w:rsidRPr="004C3106">
        <w:rPr>
          <w:rFonts w:ascii="Tahoma" w:hAnsi="Tahoma" w:cs="Tahoma"/>
          <w:color w:val="000000" w:themeColor="text1"/>
          <w:sz w:val="31"/>
          <w:szCs w:val="31"/>
        </w:rPr>
        <w:t>s</w:t>
      </w:r>
    </w:p>
    <w:p w14:paraId="24E93647" w14:textId="0EAC3ABB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cruises​</w:t>
      </w:r>
    </w:p>
    <w:p w14:paraId="21D40DEC" w14:textId="21B8A184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funeral homes​</w:t>
      </w:r>
    </w:p>
    <w:p w14:paraId="714D2713" w14:textId="5A343A20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gymnasiums​</w:t>
      </w:r>
    </w:p>
    <w:p w14:paraId="37E100A9" w14:textId="10534357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hotel conference rooms​</w:t>
      </w:r>
    </w:p>
    <w:p w14:paraId="4DE31781" w14:textId="04F3C3F4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information, registration desks</w:t>
      </w:r>
    </w:p>
    <w:p w14:paraId="1C098DFA" w14:textId="723D435F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lifelong learning classrooms</w:t>
      </w:r>
    </w:p>
    <w:p w14:paraId="359868B1" w14:textId="3919D541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pharmacy counters</w:t>
      </w:r>
    </w:p>
    <w:p w14:paraId="014B67AD" w14:textId="10EE29AF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places of worship*</w:t>
      </w:r>
    </w:p>
    <w:p w14:paraId="44D51AAF" w14:textId="53B5142F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senior centers​</w:t>
      </w:r>
    </w:p>
    <w:p w14:paraId="3E6D8650" w14:textId="0CC14FE1" w:rsidR="00517E39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senior communities</w:t>
      </w:r>
    </w:p>
    <w:p w14:paraId="726A2EA7" w14:textId="23632D15" w:rsidR="005B5D17" w:rsidRPr="004C3106" w:rsidRDefault="005B5D17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>
        <w:rPr>
          <w:rFonts w:ascii="Tahoma" w:hAnsi="Tahoma" w:cs="Tahoma"/>
          <w:color w:val="000000" w:themeColor="text1"/>
          <w:sz w:val="31"/>
          <w:szCs w:val="31"/>
        </w:rPr>
        <w:t>town halls</w:t>
      </w:r>
    </w:p>
    <w:p w14:paraId="0AC68F18" w14:textId="5A052A6D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transient venues</w:t>
      </w:r>
    </w:p>
    <w:p w14:paraId="7E6C51FF" w14:textId="5BA0DE03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transit​</w:t>
      </w:r>
    </w:p>
    <w:p w14:paraId="1C92B261" w14:textId="3C371B2D" w:rsidR="00517E39" w:rsidRPr="004C3106" w:rsidRDefault="00517E39" w:rsidP="00B2622A">
      <w:pPr>
        <w:pStyle w:val="ListParagraph"/>
        <w:numPr>
          <w:ilvl w:val="0"/>
          <w:numId w:val="11"/>
        </w:numPr>
        <w:rPr>
          <w:rFonts w:ascii="Tahoma" w:hAnsi="Tahoma" w:cs="Tahoma"/>
          <w:color w:val="000000" w:themeColor="text1"/>
          <w:sz w:val="31"/>
          <w:szCs w:val="31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t>yoga studios</w:t>
      </w:r>
    </w:p>
    <w:p w14:paraId="66FCBD92" w14:textId="77777777" w:rsidR="00517E39" w:rsidRPr="004C3106" w:rsidRDefault="00517E39" w:rsidP="00B2622A">
      <w:pPr>
        <w:rPr>
          <w:rFonts w:ascii="Tahoma" w:hAnsi="Tahoma" w:cs="Tahoma"/>
          <w:color w:val="000000" w:themeColor="text1"/>
          <w:sz w:val="31"/>
          <w:szCs w:val="31"/>
        </w:rPr>
        <w:sectPr w:rsidR="00517E39" w:rsidRPr="004C3106" w:rsidSect="004C3106">
          <w:type w:val="continuous"/>
          <w:pgSz w:w="12240" w:h="15840"/>
          <w:pgMar w:top="1080" w:right="1440" w:bottom="1080" w:left="1440" w:header="720" w:footer="720" w:gutter="0"/>
          <w:cols w:space="216"/>
          <w:titlePg/>
          <w:docGrid w:linePitch="360"/>
        </w:sectPr>
      </w:pPr>
    </w:p>
    <w:p w14:paraId="79124EFD" w14:textId="77777777" w:rsidR="002C543C" w:rsidRPr="004C3106" w:rsidRDefault="002C543C" w:rsidP="00B2622A">
      <w:pPr>
        <w:rPr>
          <w:rFonts w:ascii="Tahoma" w:hAnsi="Tahoma" w:cs="Tahoma"/>
          <w:color w:val="000000" w:themeColor="text1"/>
          <w:sz w:val="31"/>
          <w:szCs w:val="31"/>
        </w:rPr>
      </w:pPr>
    </w:p>
    <w:p w14:paraId="799F60E6" w14:textId="77777777" w:rsidR="004C3106" w:rsidRDefault="002C543C" w:rsidP="004C3106">
      <w:pPr>
        <w:rPr>
          <w:rFonts w:ascii="Tahoma" w:hAnsi="Tahoma" w:cs="Tahoma"/>
          <w:color w:val="000000" w:themeColor="text1"/>
          <w:sz w:val="32"/>
          <w:szCs w:val="32"/>
        </w:rPr>
      </w:pPr>
      <w:r w:rsidRPr="004C3106">
        <w:rPr>
          <w:rFonts w:ascii="Tahoma" w:hAnsi="Tahoma" w:cs="Tahoma"/>
          <w:color w:val="000000" w:themeColor="text1"/>
          <w:sz w:val="31"/>
          <w:szCs w:val="31"/>
        </w:rPr>
        <w:lastRenderedPageBreak/>
        <w:t>* commonly exempted under the ADA but depends on activities, funding sources, and state or local building codes or regulations. See </w:t>
      </w:r>
      <w:hyperlink r:id="rId11" w:history="1">
        <w:r w:rsidRPr="00D73688">
          <w:rPr>
            <w:rStyle w:val="Hyperlink"/>
            <w:rFonts w:ascii="Tahoma" w:hAnsi="Tahoma" w:cs="Tahoma"/>
            <w:color w:val="0000FF"/>
            <w:sz w:val="31"/>
            <w:szCs w:val="31"/>
          </w:rPr>
          <w:t>Religious Entities Under the ADA</w:t>
        </w:r>
      </w:hyperlink>
    </w:p>
    <w:p w14:paraId="505390F1" w14:textId="77777777" w:rsidR="004C3106" w:rsidRDefault="004C3106" w:rsidP="004C3106">
      <w:pPr>
        <w:rPr>
          <w:rFonts w:ascii="Tahoma" w:hAnsi="Tahoma" w:cs="Tahoma"/>
          <w:color w:val="000000" w:themeColor="text1"/>
          <w:sz w:val="32"/>
          <w:szCs w:val="32"/>
        </w:rPr>
      </w:pPr>
    </w:p>
    <w:p w14:paraId="7AEAF76E" w14:textId="3FDB4B38" w:rsidR="00842A30" w:rsidRPr="004C3106" w:rsidRDefault="00842A30" w:rsidP="004C3106">
      <w:pPr>
        <w:pStyle w:val="Heading2"/>
        <w:rPr>
          <w:rFonts w:ascii="Tahoma" w:hAnsi="Tahoma" w:cs="Tahoma"/>
          <w:color w:val="000000" w:themeColor="text1"/>
          <w:sz w:val="32"/>
          <w:szCs w:val="32"/>
        </w:rPr>
      </w:pPr>
      <w:r w:rsidRPr="004C3106">
        <w:rPr>
          <w:rFonts w:ascii="Tahoma" w:hAnsi="Tahoma" w:cs="Tahoma"/>
          <w:color w:val="000000" w:themeColor="text1"/>
          <w:sz w:val="32"/>
          <w:szCs w:val="32"/>
        </w:rPr>
        <w:t>About the Center for Hearing Access</w:t>
      </w:r>
    </w:p>
    <w:p w14:paraId="572560D3" w14:textId="3843F6D5" w:rsidR="006D376B" w:rsidRDefault="006D376B" w:rsidP="00B2622A">
      <w:pPr>
        <w:rPr>
          <w:rFonts w:ascii="Tahoma" w:hAnsi="Tahoma" w:cs="Tahoma"/>
          <w:color w:val="000000" w:themeColor="text1"/>
          <w:sz w:val="32"/>
          <w:szCs w:val="32"/>
        </w:rPr>
      </w:pPr>
      <w:r w:rsidRPr="004C3106">
        <w:rPr>
          <w:rFonts w:ascii="Tahoma" w:hAnsi="Tahoma" w:cs="Tahoma"/>
          <w:color w:val="000000" w:themeColor="text1"/>
          <w:sz w:val="32"/>
          <w:szCs w:val="32"/>
        </w:rPr>
        <w:t xml:space="preserve">Founded in 2024, the nonprofit Center for Hearing Access is a national advocacy and education initiative of The John G. Shedd Institute. We champion and educate </w:t>
      </w:r>
      <w:r w:rsidR="00B36A36">
        <w:rPr>
          <w:rFonts w:ascii="Tahoma" w:hAnsi="Tahoma" w:cs="Tahoma"/>
          <w:color w:val="000000" w:themeColor="text1"/>
          <w:sz w:val="32"/>
          <w:szCs w:val="32"/>
        </w:rPr>
        <w:t>consumers</w:t>
      </w:r>
      <w:r w:rsidRPr="004C3106">
        <w:rPr>
          <w:rFonts w:ascii="Tahoma" w:hAnsi="Tahoma" w:cs="Tahoma"/>
          <w:color w:val="000000" w:themeColor="text1"/>
          <w:sz w:val="32"/>
          <w:szCs w:val="32"/>
        </w:rPr>
        <w:t xml:space="preserve">, </w:t>
      </w:r>
      <w:r w:rsidR="00B36A36">
        <w:rPr>
          <w:rFonts w:ascii="Tahoma" w:hAnsi="Tahoma" w:cs="Tahoma"/>
          <w:color w:val="000000" w:themeColor="text1"/>
          <w:sz w:val="32"/>
          <w:szCs w:val="32"/>
        </w:rPr>
        <w:t>facility staff</w:t>
      </w:r>
      <w:r w:rsidRPr="004C3106">
        <w:rPr>
          <w:rFonts w:ascii="Tahoma" w:hAnsi="Tahoma" w:cs="Tahoma"/>
          <w:color w:val="000000" w:themeColor="text1"/>
          <w:sz w:val="32"/>
          <w:szCs w:val="32"/>
        </w:rPr>
        <w:t xml:space="preserve">, audiologists, and hearing instrument specialists about all ADA-compliant assistive listening systems and other strategies to increase access to theaters, libraries, conferences, government offices, </w:t>
      </w:r>
      <w:r w:rsidR="00B36A36" w:rsidRPr="00B36A36">
        <w:rPr>
          <w:rFonts w:ascii="Tahoma" w:hAnsi="Tahoma" w:cs="Tahoma"/>
          <w:color w:val="000000" w:themeColor="text1"/>
          <w:sz w:val="32"/>
          <w:szCs w:val="32"/>
        </w:rPr>
        <w:t xml:space="preserve">healthcare facilities, </w:t>
      </w:r>
      <w:r w:rsidRPr="004C3106">
        <w:rPr>
          <w:rFonts w:ascii="Tahoma" w:hAnsi="Tahoma" w:cs="Tahoma"/>
          <w:color w:val="000000" w:themeColor="text1"/>
          <w:sz w:val="32"/>
          <w:szCs w:val="32"/>
        </w:rPr>
        <w:t xml:space="preserve">courtrooms, places of worship, and other public and private spaces. Effective hearing access can be life-changing for people with hearing loss to maintain community engagement. </w:t>
      </w:r>
    </w:p>
    <w:p w14:paraId="1E706D9F" w14:textId="77777777" w:rsidR="004A1F09" w:rsidRDefault="004A1F09" w:rsidP="00B2622A">
      <w:pPr>
        <w:rPr>
          <w:rFonts w:ascii="Tahoma" w:hAnsi="Tahoma" w:cs="Tahoma"/>
          <w:color w:val="000000" w:themeColor="text1"/>
          <w:sz w:val="32"/>
          <w:szCs w:val="32"/>
        </w:rPr>
      </w:pPr>
    </w:p>
    <w:p w14:paraId="675F328D" w14:textId="77777777" w:rsidR="004A1F09" w:rsidRDefault="004A1F09" w:rsidP="004A1F09">
      <w:pPr>
        <w:rPr>
          <w:rFonts w:ascii="Tahoma" w:hAnsi="Tahoma" w:cs="Tahoma"/>
          <w:color w:val="000000" w:themeColor="text1"/>
          <w:sz w:val="32"/>
          <w:szCs w:val="32"/>
        </w:rPr>
      </w:pPr>
      <w:hyperlink r:id="rId12" w:history="1">
        <w:r w:rsidRPr="004A1F09">
          <w:rPr>
            <w:rStyle w:val="Hyperlink"/>
            <w:rFonts w:ascii="Tahoma" w:hAnsi="Tahoma" w:cs="Tahoma"/>
            <w:color w:val="0000FF"/>
            <w:sz w:val="32"/>
            <w:szCs w:val="32"/>
          </w:rPr>
          <w:t>www.CenterForHearingAccess.org</w:t>
        </w:r>
      </w:hyperlink>
      <w:r>
        <w:rPr>
          <w:rFonts w:ascii="Tahoma" w:hAnsi="Tahoma" w:cs="Tahoma"/>
          <w:color w:val="000000" w:themeColor="text1"/>
          <w:sz w:val="32"/>
          <w:szCs w:val="32"/>
        </w:rPr>
        <w:t xml:space="preserve">, </w:t>
      </w:r>
      <w:r w:rsidRPr="004C3106">
        <w:rPr>
          <w:rFonts w:ascii="Tahoma" w:hAnsi="Tahoma" w:cs="Tahoma"/>
          <w:color w:val="000000" w:themeColor="text1"/>
          <w:sz w:val="32"/>
          <w:szCs w:val="32"/>
        </w:rPr>
        <w:t>(303) 443-2587</w:t>
      </w:r>
    </w:p>
    <w:p w14:paraId="20D45F9B" w14:textId="77777777" w:rsidR="00706074" w:rsidRDefault="00706074" w:rsidP="004A1F09">
      <w:pPr>
        <w:rPr>
          <w:rFonts w:ascii="Tahoma" w:hAnsi="Tahoma" w:cs="Tahoma"/>
          <w:color w:val="000000" w:themeColor="text1"/>
          <w:sz w:val="32"/>
          <w:szCs w:val="32"/>
        </w:rPr>
      </w:pPr>
    </w:p>
    <w:p w14:paraId="4A23322D" w14:textId="09FCC7D4" w:rsidR="004A1F09" w:rsidRPr="004C3106" w:rsidRDefault="004A1F09" w:rsidP="004A1F09">
      <w:pPr>
        <w:rPr>
          <w:rFonts w:ascii="Tahoma" w:hAnsi="Tahoma" w:cs="Tahoma"/>
          <w:color w:val="000000" w:themeColor="text1"/>
          <w:sz w:val="32"/>
          <w:szCs w:val="32"/>
        </w:rPr>
      </w:pPr>
      <w:r w:rsidRPr="004C3106">
        <w:rPr>
          <w:rFonts w:ascii="Tahoma" w:hAnsi="Tahoma" w:cs="Tahoma"/>
          <w:color w:val="000000" w:themeColor="text1"/>
          <w:sz w:val="32"/>
          <w:szCs w:val="32"/>
        </w:rPr>
        <w:t>© 2024 rev. 9/30/24, 12/13/24</w:t>
      </w:r>
      <w:r>
        <w:rPr>
          <w:rFonts w:ascii="Tahoma" w:hAnsi="Tahoma" w:cs="Tahoma"/>
          <w:color w:val="000000" w:themeColor="text1"/>
          <w:sz w:val="32"/>
          <w:szCs w:val="32"/>
        </w:rPr>
        <w:t>, 9/10/25</w:t>
      </w:r>
      <w:r w:rsidR="00B36A36">
        <w:rPr>
          <w:rFonts w:ascii="Tahoma" w:hAnsi="Tahoma" w:cs="Tahoma"/>
          <w:color w:val="000000" w:themeColor="text1"/>
          <w:sz w:val="32"/>
          <w:szCs w:val="32"/>
        </w:rPr>
        <w:t>, 2/19/26</w:t>
      </w:r>
    </w:p>
    <w:p w14:paraId="1DE14D4D" w14:textId="77777777" w:rsidR="004A1F09" w:rsidRPr="004C3106" w:rsidRDefault="004A1F09" w:rsidP="00B2622A">
      <w:pPr>
        <w:rPr>
          <w:rFonts w:ascii="Tahoma" w:hAnsi="Tahoma" w:cs="Tahoma"/>
          <w:color w:val="000000" w:themeColor="text1"/>
          <w:sz w:val="32"/>
          <w:szCs w:val="32"/>
        </w:rPr>
      </w:pPr>
    </w:p>
    <w:p w14:paraId="2726B2CF" w14:textId="77777777" w:rsidR="007F2F6E" w:rsidRPr="004C3106" w:rsidRDefault="007F2F6E" w:rsidP="00B2622A">
      <w:pPr>
        <w:rPr>
          <w:rFonts w:ascii="Tahoma" w:hAnsi="Tahoma" w:cs="Tahoma"/>
          <w:color w:val="000000" w:themeColor="text1"/>
          <w:sz w:val="32"/>
          <w:szCs w:val="32"/>
        </w:rPr>
      </w:pPr>
    </w:p>
    <w:sectPr w:rsidR="007F2F6E" w:rsidRPr="004C3106" w:rsidSect="004C3106">
      <w:type w:val="continuous"/>
      <w:pgSz w:w="12240" w:h="15840"/>
      <w:pgMar w:top="1080" w:right="1440" w:bottom="108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F5820" w14:textId="77777777" w:rsidR="00D55F83" w:rsidRDefault="00D55F83" w:rsidP="00B2622A">
      <w:r>
        <w:separator/>
      </w:r>
    </w:p>
  </w:endnote>
  <w:endnote w:type="continuationSeparator" w:id="0">
    <w:p w14:paraId="1DD4FDBA" w14:textId="77777777" w:rsidR="00D55F83" w:rsidRDefault="00D55F83" w:rsidP="00B2622A">
      <w:r>
        <w:continuationSeparator/>
      </w:r>
    </w:p>
  </w:endnote>
  <w:endnote w:type="continuationNotice" w:id="1">
    <w:p w14:paraId="6E6D9556" w14:textId="77777777" w:rsidR="00D55F83" w:rsidRDefault="00D55F83" w:rsidP="00B262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tkinson Hyperlegible">
    <w:altName w:val="Calibri"/>
    <w:panose1 w:val="00000000000000000000"/>
    <w:charset w:val="00"/>
    <w:family w:val="auto"/>
    <w:pitch w:val="variable"/>
    <w:sig w:usb0="800000EF" w:usb1="0000204B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obe Jenson Pro">
    <w:panose1 w:val="020A0503050201030203"/>
    <w:charset w:val="00"/>
    <w:family w:val="roman"/>
    <w:notTrueType/>
    <w:pitch w:val="variable"/>
    <w:sig w:usb0="00000007" w:usb1="00000001" w:usb2="00000000" w:usb3="00000000" w:csb0="00000093" w:csb1="00000000"/>
  </w:font>
  <w:font w:name="ITC Kabel Std Book">
    <w:panose1 w:val="020D04020202040209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CED39" w14:textId="77777777" w:rsidR="00D55F83" w:rsidRDefault="00D55F83" w:rsidP="00B2622A">
      <w:r>
        <w:separator/>
      </w:r>
    </w:p>
  </w:footnote>
  <w:footnote w:type="continuationSeparator" w:id="0">
    <w:p w14:paraId="09A1813B" w14:textId="77777777" w:rsidR="00D55F83" w:rsidRDefault="00D55F83" w:rsidP="00B2622A">
      <w:r>
        <w:continuationSeparator/>
      </w:r>
    </w:p>
  </w:footnote>
  <w:footnote w:type="continuationNotice" w:id="1">
    <w:p w14:paraId="30421F0A" w14:textId="77777777" w:rsidR="00D55F83" w:rsidRDefault="00D55F83" w:rsidP="00B2622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53C66" w14:textId="3F52ED0B" w:rsidR="00E10DED" w:rsidRDefault="00E10DED" w:rsidP="00B2622A">
    <w:pPr>
      <w:pStyle w:val="Header"/>
    </w:pPr>
  </w:p>
  <w:p w14:paraId="0EB1F09C" w14:textId="77BDF71C" w:rsidR="00295C10" w:rsidRDefault="00295C10" w:rsidP="00B262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453E7"/>
    <w:multiLevelType w:val="hybridMultilevel"/>
    <w:tmpl w:val="A970B412"/>
    <w:lvl w:ilvl="0" w:tplc="FECA1164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4F55C08"/>
    <w:multiLevelType w:val="hybridMultilevel"/>
    <w:tmpl w:val="DC265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E7CFC"/>
    <w:multiLevelType w:val="hybridMultilevel"/>
    <w:tmpl w:val="59B02D86"/>
    <w:lvl w:ilvl="0" w:tplc="F0F20948">
      <w:numFmt w:val="bullet"/>
      <w:lvlText w:val="•"/>
      <w:lvlJc w:val="left"/>
      <w:pPr>
        <w:ind w:left="1080" w:hanging="720"/>
      </w:pPr>
      <w:rPr>
        <w:rFonts w:ascii="Atkinson Hyperlegible" w:eastAsia="Atkinson Hyperlegible" w:hAnsi="Atkinson Hyperlegible" w:cs="Atkinson Hyperlegibl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150E9"/>
    <w:multiLevelType w:val="hybridMultilevel"/>
    <w:tmpl w:val="29FAB22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BC34DE"/>
    <w:multiLevelType w:val="hybridMultilevel"/>
    <w:tmpl w:val="C86C6810"/>
    <w:lvl w:ilvl="0" w:tplc="753C018C">
      <w:numFmt w:val="bullet"/>
      <w:lvlText w:val="•"/>
      <w:lvlJc w:val="left"/>
      <w:pPr>
        <w:ind w:left="1080" w:hanging="720"/>
      </w:pPr>
      <w:rPr>
        <w:rFonts w:ascii="Atkinson Hyperlegible" w:eastAsia="Atkinson Hyperlegible" w:hAnsi="Atkinson Hyperlegible" w:cs="Atkinson Hyperlegibl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D45E15"/>
    <w:multiLevelType w:val="hybridMultilevel"/>
    <w:tmpl w:val="2CE6C9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E62774"/>
    <w:multiLevelType w:val="hybridMultilevel"/>
    <w:tmpl w:val="691AA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5E519C"/>
    <w:multiLevelType w:val="hybridMultilevel"/>
    <w:tmpl w:val="112AF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D636CD"/>
    <w:multiLevelType w:val="hybridMultilevel"/>
    <w:tmpl w:val="339C5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D745CD"/>
    <w:multiLevelType w:val="hybridMultilevel"/>
    <w:tmpl w:val="260CD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CA370F"/>
    <w:multiLevelType w:val="hybridMultilevel"/>
    <w:tmpl w:val="0CF0A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336B2B"/>
    <w:multiLevelType w:val="multilevel"/>
    <w:tmpl w:val="7ED4F4C6"/>
    <w:lvl w:ilvl="0">
      <w:start w:val="1"/>
      <w:numFmt w:val="decimal"/>
      <w:pStyle w:val="Heading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693F5ADD"/>
    <w:multiLevelType w:val="hybridMultilevel"/>
    <w:tmpl w:val="49EA2E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8543CA"/>
    <w:multiLevelType w:val="hybridMultilevel"/>
    <w:tmpl w:val="9B082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7726847">
    <w:abstractNumId w:val="0"/>
  </w:num>
  <w:num w:numId="2" w16cid:durableId="1932469031">
    <w:abstractNumId w:val="11"/>
  </w:num>
  <w:num w:numId="3" w16cid:durableId="869415084">
    <w:abstractNumId w:val="1"/>
  </w:num>
  <w:num w:numId="4" w16cid:durableId="1732537777">
    <w:abstractNumId w:val="3"/>
  </w:num>
  <w:num w:numId="5" w16cid:durableId="1076366138">
    <w:abstractNumId w:val="13"/>
  </w:num>
  <w:num w:numId="6" w16cid:durableId="2063749544">
    <w:abstractNumId w:val="9"/>
  </w:num>
  <w:num w:numId="7" w16cid:durableId="262420931">
    <w:abstractNumId w:val="6"/>
  </w:num>
  <w:num w:numId="8" w16cid:durableId="510686679">
    <w:abstractNumId w:val="2"/>
  </w:num>
  <w:num w:numId="9" w16cid:durableId="1937321160">
    <w:abstractNumId w:val="5"/>
  </w:num>
  <w:num w:numId="10" w16cid:durableId="931744053">
    <w:abstractNumId w:val="4"/>
  </w:num>
  <w:num w:numId="11" w16cid:durableId="356465479">
    <w:abstractNumId w:val="10"/>
  </w:num>
  <w:num w:numId="12" w16cid:durableId="244847198">
    <w:abstractNumId w:val="8"/>
  </w:num>
  <w:num w:numId="13" w16cid:durableId="630405168">
    <w:abstractNumId w:val="7"/>
  </w:num>
  <w:num w:numId="14" w16cid:durableId="5602131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3E0"/>
    <w:rsid w:val="00000C94"/>
    <w:rsid w:val="00002F1F"/>
    <w:rsid w:val="00006468"/>
    <w:rsid w:val="00010D45"/>
    <w:rsid w:val="0001552D"/>
    <w:rsid w:val="00017825"/>
    <w:rsid w:val="00022F7D"/>
    <w:rsid w:val="00024F9D"/>
    <w:rsid w:val="000366A1"/>
    <w:rsid w:val="00057CB4"/>
    <w:rsid w:val="0006049B"/>
    <w:rsid w:val="000672C1"/>
    <w:rsid w:val="000705EB"/>
    <w:rsid w:val="000753EE"/>
    <w:rsid w:val="00077806"/>
    <w:rsid w:val="000832B6"/>
    <w:rsid w:val="00084812"/>
    <w:rsid w:val="00093E94"/>
    <w:rsid w:val="00095D3E"/>
    <w:rsid w:val="00096BC7"/>
    <w:rsid w:val="000A036E"/>
    <w:rsid w:val="000A40BF"/>
    <w:rsid w:val="000B10C8"/>
    <w:rsid w:val="000B1237"/>
    <w:rsid w:val="000B3482"/>
    <w:rsid w:val="000B3600"/>
    <w:rsid w:val="000B7D97"/>
    <w:rsid w:val="000C2AC3"/>
    <w:rsid w:val="000C39A7"/>
    <w:rsid w:val="000D046C"/>
    <w:rsid w:val="000E2E61"/>
    <w:rsid w:val="000F1429"/>
    <w:rsid w:val="000F5BF6"/>
    <w:rsid w:val="00100339"/>
    <w:rsid w:val="00101020"/>
    <w:rsid w:val="00101EEC"/>
    <w:rsid w:val="00102FA6"/>
    <w:rsid w:val="00104458"/>
    <w:rsid w:val="001114D6"/>
    <w:rsid w:val="00113675"/>
    <w:rsid w:val="00121E2D"/>
    <w:rsid w:val="00124E30"/>
    <w:rsid w:val="0012732B"/>
    <w:rsid w:val="00145448"/>
    <w:rsid w:val="00150D2F"/>
    <w:rsid w:val="00155792"/>
    <w:rsid w:val="00166DBA"/>
    <w:rsid w:val="00167473"/>
    <w:rsid w:val="00170772"/>
    <w:rsid w:val="00177654"/>
    <w:rsid w:val="00183B6A"/>
    <w:rsid w:val="00184A7B"/>
    <w:rsid w:val="00191334"/>
    <w:rsid w:val="00191E86"/>
    <w:rsid w:val="00193FD7"/>
    <w:rsid w:val="001A21A5"/>
    <w:rsid w:val="001B2E5E"/>
    <w:rsid w:val="001D53B8"/>
    <w:rsid w:val="001E49F8"/>
    <w:rsid w:val="001E78BE"/>
    <w:rsid w:val="001F2427"/>
    <w:rsid w:val="001F2BE3"/>
    <w:rsid w:val="001F775D"/>
    <w:rsid w:val="00203C22"/>
    <w:rsid w:val="0020575E"/>
    <w:rsid w:val="00205C44"/>
    <w:rsid w:val="00210A24"/>
    <w:rsid w:val="002229C4"/>
    <w:rsid w:val="002318BF"/>
    <w:rsid w:val="0023686D"/>
    <w:rsid w:val="00243480"/>
    <w:rsid w:val="00243C66"/>
    <w:rsid w:val="002526B1"/>
    <w:rsid w:val="00252961"/>
    <w:rsid w:val="00252F61"/>
    <w:rsid w:val="00255835"/>
    <w:rsid w:val="00270D3D"/>
    <w:rsid w:val="002723C9"/>
    <w:rsid w:val="00274C93"/>
    <w:rsid w:val="00281770"/>
    <w:rsid w:val="00281D5A"/>
    <w:rsid w:val="00293AD7"/>
    <w:rsid w:val="00295C10"/>
    <w:rsid w:val="002A0166"/>
    <w:rsid w:val="002A08A3"/>
    <w:rsid w:val="002A258B"/>
    <w:rsid w:val="002B16D5"/>
    <w:rsid w:val="002B60C0"/>
    <w:rsid w:val="002B706A"/>
    <w:rsid w:val="002B7248"/>
    <w:rsid w:val="002C543C"/>
    <w:rsid w:val="002C58CE"/>
    <w:rsid w:val="002C661C"/>
    <w:rsid w:val="002D01F0"/>
    <w:rsid w:val="002D2AD5"/>
    <w:rsid w:val="002D39F5"/>
    <w:rsid w:val="002E1A14"/>
    <w:rsid w:val="002F394E"/>
    <w:rsid w:val="002F4812"/>
    <w:rsid w:val="002F63B8"/>
    <w:rsid w:val="0030252E"/>
    <w:rsid w:val="00303E19"/>
    <w:rsid w:val="00304155"/>
    <w:rsid w:val="00307530"/>
    <w:rsid w:val="00311850"/>
    <w:rsid w:val="00323769"/>
    <w:rsid w:val="0032421C"/>
    <w:rsid w:val="0032507B"/>
    <w:rsid w:val="00325670"/>
    <w:rsid w:val="00330834"/>
    <w:rsid w:val="00333D6F"/>
    <w:rsid w:val="0035167A"/>
    <w:rsid w:val="00353E00"/>
    <w:rsid w:val="00356A42"/>
    <w:rsid w:val="00357885"/>
    <w:rsid w:val="00361192"/>
    <w:rsid w:val="003640CC"/>
    <w:rsid w:val="00366D98"/>
    <w:rsid w:val="003724AB"/>
    <w:rsid w:val="00377C2D"/>
    <w:rsid w:val="0038039B"/>
    <w:rsid w:val="0038291F"/>
    <w:rsid w:val="0038347F"/>
    <w:rsid w:val="0038359E"/>
    <w:rsid w:val="00384D43"/>
    <w:rsid w:val="00384F1F"/>
    <w:rsid w:val="003872AF"/>
    <w:rsid w:val="00397795"/>
    <w:rsid w:val="003A4815"/>
    <w:rsid w:val="003A5C67"/>
    <w:rsid w:val="003A5D41"/>
    <w:rsid w:val="003B0094"/>
    <w:rsid w:val="003B3E29"/>
    <w:rsid w:val="003B3FE1"/>
    <w:rsid w:val="003B70E4"/>
    <w:rsid w:val="003C0E3D"/>
    <w:rsid w:val="003D0606"/>
    <w:rsid w:val="003D25FD"/>
    <w:rsid w:val="003D70FC"/>
    <w:rsid w:val="003E6EF8"/>
    <w:rsid w:val="003F3E45"/>
    <w:rsid w:val="00410179"/>
    <w:rsid w:val="00410579"/>
    <w:rsid w:val="004105B4"/>
    <w:rsid w:val="004204FD"/>
    <w:rsid w:val="00421D09"/>
    <w:rsid w:val="00423390"/>
    <w:rsid w:val="004249D3"/>
    <w:rsid w:val="00433F4E"/>
    <w:rsid w:val="00437A08"/>
    <w:rsid w:val="00437D14"/>
    <w:rsid w:val="00442C3C"/>
    <w:rsid w:val="004526AA"/>
    <w:rsid w:val="0045736E"/>
    <w:rsid w:val="00460C42"/>
    <w:rsid w:val="00462029"/>
    <w:rsid w:val="00462AF5"/>
    <w:rsid w:val="00470DF1"/>
    <w:rsid w:val="00471AD5"/>
    <w:rsid w:val="00471B92"/>
    <w:rsid w:val="00477ACC"/>
    <w:rsid w:val="00483F3B"/>
    <w:rsid w:val="00484279"/>
    <w:rsid w:val="00484ED6"/>
    <w:rsid w:val="004911B4"/>
    <w:rsid w:val="0049186F"/>
    <w:rsid w:val="004A1F09"/>
    <w:rsid w:val="004A79F4"/>
    <w:rsid w:val="004B2DB1"/>
    <w:rsid w:val="004B3C93"/>
    <w:rsid w:val="004B59FE"/>
    <w:rsid w:val="004B65FD"/>
    <w:rsid w:val="004B67AB"/>
    <w:rsid w:val="004C1698"/>
    <w:rsid w:val="004C3106"/>
    <w:rsid w:val="004C72C7"/>
    <w:rsid w:val="004E0EE6"/>
    <w:rsid w:val="004F22A2"/>
    <w:rsid w:val="004F36F2"/>
    <w:rsid w:val="00502A22"/>
    <w:rsid w:val="00505B86"/>
    <w:rsid w:val="005102F6"/>
    <w:rsid w:val="005138A2"/>
    <w:rsid w:val="005156D4"/>
    <w:rsid w:val="00517E39"/>
    <w:rsid w:val="00524F1A"/>
    <w:rsid w:val="005339D8"/>
    <w:rsid w:val="00541F57"/>
    <w:rsid w:val="00543DD6"/>
    <w:rsid w:val="005561D0"/>
    <w:rsid w:val="00556ED6"/>
    <w:rsid w:val="00557806"/>
    <w:rsid w:val="00571F0A"/>
    <w:rsid w:val="00573E94"/>
    <w:rsid w:val="00575DEF"/>
    <w:rsid w:val="0057791A"/>
    <w:rsid w:val="00584026"/>
    <w:rsid w:val="00584891"/>
    <w:rsid w:val="00590882"/>
    <w:rsid w:val="0059410E"/>
    <w:rsid w:val="005A14E6"/>
    <w:rsid w:val="005A1FA4"/>
    <w:rsid w:val="005A24B3"/>
    <w:rsid w:val="005A320C"/>
    <w:rsid w:val="005A4314"/>
    <w:rsid w:val="005A46C1"/>
    <w:rsid w:val="005A64BD"/>
    <w:rsid w:val="005B5D17"/>
    <w:rsid w:val="005B5F4F"/>
    <w:rsid w:val="005B725F"/>
    <w:rsid w:val="005C3A8C"/>
    <w:rsid w:val="005C4043"/>
    <w:rsid w:val="005E2C1D"/>
    <w:rsid w:val="005F029D"/>
    <w:rsid w:val="005F06AF"/>
    <w:rsid w:val="005F09DD"/>
    <w:rsid w:val="005F2E63"/>
    <w:rsid w:val="006013DB"/>
    <w:rsid w:val="00605BD4"/>
    <w:rsid w:val="00607580"/>
    <w:rsid w:val="006111A0"/>
    <w:rsid w:val="006129B9"/>
    <w:rsid w:val="00612ABA"/>
    <w:rsid w:val="00613E79"/>
    <w:rsid w:val="006238F4"/>
    <w:rsid w:val="00623CE1"/>
    <w:rsid w:val="00626F2B"/>
    <w:rsid w:val="006274D1"/>
    <w:rsid w:val="00636D3A"/>
    <w:rsid w:val="00637776"/>
    <w:rsid w:val="00650AF3"/>
    <w:rsid w:val="00657134"/>
    <w:rsid w:val="006715A1"/>
    <w:rsid w:val="006801AF"/>
    <w:rsid w:val="00681219"/>
    <w:rsid w:val="00681E11"/>
    <w:rsid w:val="006828C1"/>
    <w:rsid w:val="00683879"/>
    <w:rsid w:val="00684AC1"/>
    <w:rsid w:val="006949D9"/>
    <w:rsid w:val="006C45A4"/>
    <w:rsid w:val="006D2D15"/>
    <w:rsid w:val="006D376B"/>
    <w:rsid w:val="006E122B"/>
    <w:rsid w:val="006E456D"/>
    <w:rsid w:val="00706074"/>
    <w:rsid w:val="00714BC2"/>
    <w:rsid w:val="00725D6C"/>
    <w:rsid w:val="00726238"/>
    <w:rsid w:val="00730D93"/>
    <w:rsid w:val="00731C50"/>
    <w:rsid w:val="00755207"/>
    <w:rsid w:val="00755315"/>
    <w:rsid w:val="00755BEA"/>
    <w:rsid w:val="00762E3C"/>
    <w:rsid w:val="00763580"/>
    <w:rsid w:val="007711E7"/>
    <w:rsid w:val="00796814"/>
    <w:rsid w:val="007A091E"/>
    <w:rsid w:val="007A0A18"/>
    <w:rsid w:val="007A3C7A"/>
    <w:rsid w:val="007A4D0D"/>
    <w:rsid w:val="007A52F6"/>
    <w:rsid w:val="007A58DC"/>
    <w:rsid w:val="007B02A1"/>
    <w:rsid w:val="007B2C6E"/>
    <w:rsid w:val="007B6505"/>
    <w:rsid w:val="007C2F1F"/>
    <w:rsid w:val="007C3065"/>
    <w:rsid w:val="007C6251"/>
    <w:rsid w:val="007C73DF"/>
    <w:rsid w:val="007D0E1E"/>
    <w:rsid w:val="007D70A8"/>
    <w:rsid w:val="007E0EAF"/>
    <w:rsid w:val="007E43EA"/>
    <w:rsid w:val="007E5E9F"/>
    <w:rsid w:val="007F2F6E"/>
    <w:rsid w:val="00800ACD"/>
    <w:rsid w:val="00805CA3"/>
    <w:rsid w:val="0080789E"/>
    <w:rsid w:val="0081154C"/>
    <w:rsid w:val="008133E8"/>
    <w:rsid w:val="00815F6F"/>
    <w:rsid w:val="00821581"/>
    <w:rsid w:val="00826BD4"/>
    <w:rsid w:val="008271C1"/>
    <w:rsid w:val="00836D0C"/>
    <w:rsid w:val="00837247"/>
    <w:rsid w:val="00842A30"/>
    <w:rsid w:val="008466AF"/>
    <w:rsid w:val="0084769D"/>
    <w:rsid w:val="008561BC"/>
    <w:rsid w:val="00864728"/>
    <w:rsid w:val="008768C9"/>
    <w:rsid w:val="008769BE"/>
    <w:rsid w:val="0088322D"/>
    <w:rsid w:val="008854A4"/>
    <w:rsid w:val="008903E1"/>
    <w:rsid w:val="00895413"/>
    <w:rsid w:val="008A0DD7"/>
    <w:rsid w:val="008A5529"/>
    <w:rsid w:val="008A5F08"/>
    <w:rsid w:val="008A670C"/>
    <w:rsid w:val="008B253C"/>
    <w:rsid w:val="008C1698"/>
    <w:rsid w:val="008C16B5"/>
    <w:rsid w:val="008C2184"/>
    <w:rsid w:val="008C3209"/>
    <w:rsid w:val="008C5B93"/>
    <w:rsid w:val="008D1778"/>
    <w:rsid w:val="008D316B"/>
    <w:rsid w:val="008D3C2E"/>
    <w:rsid w:val="008D4A09"/>
    <w:rsid w:val="008E05AA"/>
    <w:rsid w:val="008E0627"/>
    <w:rsid w:val="008E3B60"/>
    <w:rsid w:val="008E64BD"/>
    <w:rsid w:val="008E7B0A"/>
    <w:rsid w:val="008F1A65"/>
    <w:rsid w:val="008F26DC"/>
    <w:rsid w:val="008F479E"/>
    <w:rsid w:val="008F77C3"/>
    <w:rsid w:val="00903C65"/>
    <w:rsid w:val="00904F04"/>
    <w:rsid w:val="009065A0"/>
    <w:rsid w:val="00910F76"/>
    <w:rsid w:val="00932529"/>
    <w:rsid w:val="00933EE2"/>
    <w:rsid w:val="00937391"/>
    <w:rsid w:val="00943144"/>
    <w:rsid w:val="009466A0"/>
    <w:rsid w:val="009471E6"/>
    <w:rsid w:val="00951CB2"/>
    <w:rsid w:val="00973B01"/>
    <w:rsid w:val="009751AE"/>
    <w:rsid w:val="00976FB6"/>
    <w:rsid w:val="009815D4"/>
    <w:rsid w:val="009836BA"/>
    <w:rsid w:val="00987411"/>
    <w:rsid w:val="00987A26"/>
    <w:rsid w:val="00994254"/>
    <w:rsid w:val="00995FCD"/>
    <w:rsid w:val="009B59F2"/>
    <w:rsid w:val="009C40E1"/>
    <w:rsid w:val="009D1EEE"/>
    <w:rsid w:val="009D2F9A"/>
    <w:rsid w:val="009E49F5"/>
    <w:rsid w:val="009E5BFF"/>
    <w:rsid w:val="009F53F0"/>
    <w:rsid w:val="009F6DC3"/>
    <w:rsid w:val="00A0284B"/>
    <w:rsid w:val="00A05F71"/>
    <w:rsid w:val="00A07C16"/>
    <w:rsid w:val="00A10697"/>
    <w:rsid w:val="00A112DF"/>
    <w:rsid w:val="00A149C3"/>
    <w:rsid w:val="00A17F98"/>
    <w:rsid w:val="00A203BD"/>
    <w:rsid w:val="00A2437A"/>
    <w:rsid w:val="00A270BD"/>
    <w:rsid w:val="00A34651"/>
    <w:rsid w:val="00A36F74"/>
    <w:rsid w:val="00A439F2"/>
    <w:rsid w:val="00A44F80"/>
    <w:rsid w:val="00A529CD"/>
    <w:rsid w:val="00A5450B"/>
    <w:rsid w:val="00A55AAF"/>
    <w:rsid w:val="00A5767A"/>
    <w:rsid w:val="00A57BE9"/>
    <w:rsid w:val="00A715D6"/>
    <w:rsid w:val="00A81597"/>
    <w:rsid w:val="00A859F4"/>
    <w:rsid w:val="00A90A9E"/>
    <w:rsid w:val="00A90BDA"/>
    <w:rsid w:val="00AA1F07"/>
    <w:rsid w:val="00AB2775"/>
    <w:rsid w:val="00AB2ACA"/>
    <w:rsid w:val="00AB35F3"/>
    <w:rsid w:val="00AB7CD4"/>
    <w:rsid w:val="00AC530E"/>
    <w:rsid w:val="00AC6EFD"/>
    <w:rsid w:val="00AD11E8"/>
    <w:rsid w:val="00AD490B"/>
    <w:rsid w:val="00AD5302"/>
    <w:rsid w:val="00AE0A23"/>
    <w:rsid w:val="00AE0ADB"/>
    <w:rsid w:val="00AE1114"/>
    <w:rsid w:val="00AE3C30"/>
    <w:rsid w:val="00AF445F"/>
    <w:rsid w:val="00AF5582"/>
    <w:rsid w:val="00B004C6"/>
    <w:rsid w:val="00B0275C"/>
    <w:rsid w:val="00B02F5E"/>
    <w:rsid w:val="00B03F26"/>
    <w:rsid w:val="00B07D1E"/>
    <w:rsid w:val="00B1133F"/>
    <w:rsid w:val="00B12E9A"/>
    <w:rsid w:val="00B15954"/>
    <w:rsid w:val="00B1730C"/>
    <w:rsid w:val="00B23125"/>
    <w:rsid w:val="00B2622A"/>
    <w:rsid w:val="00B276D2"/>
    <w:rsid w:val="00B316C5"/>
    <w:rsid w:val="00B32901"/>
    <w:rsid w:val="00B3596E"/>
    <w:rsid w:val="00B36A36"/>
    <w:rsid w:val="00B37649"/>
    <w:rsid w:val="00B46AF5"/>
    <w:rsid w:val="00B47258"/>
    <w:rsid w:val="00B52125"/>
    <w:rsid w:val="00B52944"/>
    <w:rsid w:val="00B533E0"/>
    <w:rsid w:val="00B53737"/>
    <w:rsid w:val="00B74C76"/>
    <w:rsid w:val="00B86F46"/>
    <w:rsid w:val="00B87297"/>
    <w:rsid w:val="00B96629"/>
    <w:rsid w:val="00BA0DB5"/>
    <w:rsid w:val="00BA3D10"/>
    <w:rsid w:val="00BB216C"/>
    <w:rsid w:val="00BB4EFB"/>
    <w:rsid w:val="00BB5634"/>
    <w:rsid w:val="00BC0050"/>
    <w:rsid w:val="00BC3A43"/>
    <w:rsid w:val="00BC5F2D"/>
    <w:rsid w:val="00BD760F"/>
    <w:rsid w:val="00BE3031"/>
    <w:rsid w:val="00C016F2"/>
    <w:rsid w:val="00C0460B"/>
    <w:rsid w:val="00C20131"/>
    <w:rsid w:val="00C2045D"/>
    <w:rsid w:val="00C215E1"/>
    <w:rsid w:val="00C324D7"/>
    <w:rsid w:val="00C47E76"/>
    <w:rsid w:val="00C50628"/>
    <w:rsid w:val="00C54402"/>
    <w:rsid w:val="00C603E5"/>
    <w:rsid w:val="00C822D7"/>
    <w:rsid w:val="00C97F28"/>
    <w:rsid w:val="00CA1C10"/>
    <w:rsid w:val="00CA28C3"/>
    <w:rsid w:val="00CA76CB"/>
    <w:rsid w:val="00CC0BAD"/>
    <w:rsid w:val="00CC1CDC"/>
    <w:rsid w:val="00CC2782"/>
    <w:rsid w:val="00CD3DB7"/>
    <w:rsid w:val="00CD6198"/>
    <w:rsid w:val="00CD76E7"/>
    <w:rsid w:val="00CE0505"/>
    <w:rsid w:val="00CE499F"/>
    <w:rsid w:val="00CF2D71"/>
    <w:rsid w:val="00D06C2C"/>
    <w:rsid w:val="00D13878"/>
    <w:rsid w:val="00D1759A"/>
    <w:rsid w:val="00D22529"/>
    <w:rsid w:val="00D34759"/>
    <w:rsid w:val="00D54936"/>
    <w:rsid w:val="00D55F83"/>
    <w:rsid w:val="00D6020F"/>
    <w:rsid w:val="00D618BD"/>
    <w:rsid w:val="00D65B60"/>
    <w:rsid w:val="00D66E3E"/>
    <w:rsid w:val="00D723A7"/>
    <w:rsid w:val="00D728D7"/>
    <w:rsid w:val="00D73688"/>
    <w:rsid w:val="00D8115D"/>
    <w:rsid w:val="00D90D59"/>
    <w:rsid w:val="00D9186A"/>
    <w:rsid w:val="00D91AB2"/>
    <w:rsid w:val="00D97AD2"/>
    <w:rsid w:val="00DA0C8A"/>
    <w:rsid w:val="00DA15D3"/>
    <w:rsid w:val="00DB4157"/>
    <w:rsid w:val="00DC474C"/>
    <w:rsid w:val="00DC4939"/>
    <w:rsid w:val="00DD0DCD"/>
    <w:rsid w:val="00DE7AB8"/>
    <w:rsid w:val="00DF6ACA"/>
    <w:rsid w:val="00DF7627"/>
    <w:rsid w:val="00E0496C"/>
    <w:rsid w:val="00E10DED"/>
    <w:rsid w:val="00E13F6C"/>
    <w:rsid w:val="00E20BE3"/>
    <w:rsid w:val="00E26593"/>
    <w:rsid w:val="00E31948"/>
    <w:rsid w:val="00E44C24"/>
    <w:rsid w:val="00E54596"/>
    <w:rsid w:val="00E572C7"/>
    <w:rsid w:val="00E66347"/>
    <w:rsid w:val="00E67E86"/>
    <w:rsid w:val="00E717A8"/>
    <w:rsid w:val="00E754E7"/>
    <w:rsid w:val="00E92906"/>
    <w:rsid w:val="00E95497"/>
    <w:rsid w:val="00EA07DA"/>
    <w:rsid w:val="00EA13D6"/>
    <w:rsid w:val="00EA2808"/>
    <w:rsid w:val="00EA389D"/>
    <w:rsid w:val="00EB1046"/>
    <w:rsid w:val="00EB4B9D"/>
    <w:rsid w:val="00EB5C97"/>
    <w:rsid w:val="00EC2FB3"/>
    <w:rsid w:val="00EC3930"/>
    <w:rsid w:val="00EE182A"/>
    <w:rsid w:val="00EE23DC"/>
    <w:rsid w:val="00EF6BF4"/>
    <w:rsid w:val="00F01043"/>
    <w:rsid w:val="00F02AF1"/>
    <w:rsid w:val="00F07E79"/>
    <w:rsid w:val="00F16C9E"/>
    <w:rsid w:val="00F229E0"/>
    <w:rsid w:val="00F26C95"/>
    <w:rsid w:val="00F35C45"/>
    <w:rsid w:val="00F408B2"/>
    <w:rsid w:val="00F466F1"/>
    <w:rsid w:val="00F51786"/>
    <w:rsid w:val="00F52EA0"/>
    <w:rsid w:val="00F54321"/>
    <w:rsid w:val="00F61540"/>
    <w:rsid w:val="00F76C67"/>
    <w:rsid w:val="00F7722B"/>
    <w:rsid w:val="00F950D3"/>
    <w:rsid w:val="00FA1E08"/>
    <w:rsid w:val="00FA2CEF"/>
    <w:rsid w:val="00FD117F"/>
    <w:rsid w:val="00FD178A"/>
    <w:rsid w:val="00FE02F1"/>
    <w:rsid w:val="00FE6342"/>
    <w:rsid w:val="00FE6CBA"/>
    <w:rsid w:val="00FF0EE8"/>
    <w:rsid w:val="14D9D0D8"/>
    <w:rsid w:val="26362D90"/>
    <w:rsid w:val="34A5A855"/>
    <w:rsid w:val="37FBC2E2"/>
    <w:rsid w:val="3EA2BD38"/>
    <w:rsid w:val="562E21AD"/>
    <w:rsid w:val="66C73346"/>
    <w:rsid w:val="73CAD743"/>
    <w:rsid w:val="748A361C"/>
    <w:rsid w:val="75AB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8D7E38"/>
  <w15:docId w15:val="{A5399086-5B02-45E8-9ECA-F860D9D96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622A"/>
    <w:pPr>
      <w:spacing w:after="0" w:line="240" w:lineRule="auto"/>
    </w:pPr>
    <w:rPr>
      <w:rFonts w:ascii="Atkinson Hyperlegible" w:eastAsia="Atkinson Hyperlegible" w:hAnsi="Atkinson Hyperlegible" w:cs="Atkinson Hyperlegible"/>
      <w:sz w:val="27"/>
      <w:szCs w:val="27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5C10"/>
    <w:pPr>
      <w:ind w:right="22"/>
      <w:jc w:val="center"/>
      <w:outlineLvl w:val="0"/>
    </w:pPr>
    <w:rPr>
      <w:rFonts w:ascii="Arial" w:hAnsi="Arial" w:cs="Arial"/>
      <w:b/>
      <w:bCs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57BE9"/>
    <w:pPr>
      <w:outlineLvl w:val="1"/>
    </w:pPr>
    <w:rPr>
      <w:rFonts w:cs="Arial"/>
      <w:b/>
      <w:bCs/>
      <w:color w:val="0070C0"/>
    </w:rPr>
  </w:style>
  <w:style w:type="paragraph" w:styleId="Heading3">
    <w:name w:val="heading 3"/>
    <w:basedOn w:val="Normal"/>
    <w:link w:val="Heading3Char"/>
    <w:autoRedefine/>
    <w:qFormat/>
    <w:rsid w:val="009065A0"/>
    <w:pPr>
      <w:numPr>
        <w:numId w:val="2"/>
      </w:numPr>
      <w:tabs>
        <w:tab w:val="left" w:pos="900"/>
        <w:tab w:val="left" w:pos="990"/>
      </w:tabs>
      <w:ind w:left="1440" w:hanging="360"/>
      <w:outlineLvl w:val="2"/>
    </w:pPr>
    <w:rPr>
      <w:rFonts w:ascii="Calibri" w:eastAsiaTheme="minorHAnsi" w:hAnsi="Calibri" w:cstheme="majorBidi"/>
      <w:b/>
      <w:sz w:val="28"/>
      <w:szCs w:val="24"/>
      <w:lang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4C2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6B0224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9065A0"/>
    <w:rPr>
      <w:rFonts w:ascii="Calibri" w:hAnsi="Calibri" w:cstheme="majorBidi"/>
      <w:b/>
      <w:sz w:val="28"/>
      <w:szCs w:val="24"/>
    </w:rPr>
  </w:style>
  <w:style w:type="paragraph" w:styleId="Header">
    <w:name w:val="header"/>
    <w:basedOn w:val="Normal"/>
    <w:link w:val="HeaderChar"/>
    <w:uiPriority w:val="99"/>
    <w:unhideWhenUsed/>
    <w:rsid w:val="00B533E0"/>
    <w:pPr>
      <w:tabs>
        <w:tab w:val="center" w:pos="4680"/>
        <w:tab w:val="right" w:pos="9360"/>
      </w:tabs>
    </w:pPr>
    <w:rPr>
      <w:rFonts w:eastAsiaTheme="minorHAnsi" w:cstheme="minorBidi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B533E0"/>
  </w:style>
  <w:style w:type="paragraph" w:styleId="Footer">
    <w:name w:val="footer"/>
    <w:basedOn w:val="Normal"/>
    <w:link w:val="FooterChar"/>
    <w:uiPriority w:val="99"/>
    <w:unhideWhenUsed/>
    <w:rsid w:val="00B533E0"/>
    <w:pPr>
      <w:tabs>
        <w:tab w:val="center" w:pos="4680"/>
        <w:tab w:val="right" w:pos="9360"/>
      </w:tabs>
    </w:pPr>
    <w:rPr>
      <w:rFonts w:eastAsiaTheme="minorHAnsi" w:cstheme="minorBidi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B533E0"/>
  </w:style>
  <w:style w:type="paragraph" w:styleId="Revision">
    <w:name w:val="Revision"/>
    <w:hidden/>
    <w:uiPriority w:val="99"/>
    <w:semiHidden/>
    <w:rsid w:val="007A52F6"/>
    <w:pPr>
      <w:spacing w:after="0" w:line="240" w:lineRule="auto"/>
    </w:pPr>
    <w:rPr>
      <w:rFonts w:ascii="Adobe Jenson Pro" w:eastAsia="Times New Roman" w:hAnsi="Adobe Jenson Pro" w:cs="Times New Roman"/>
      <w:sz w:val="24"/>
      <w:szCs w:val="20"/>
      <w:lang w:bidi="he-IL"/>
    </w:rPr>
  </w:style>
  <w:style w:type="character" w:styleId="CommentReference">
    <w:name w:val="annotation reference"/>
    <w:basedOn w:val="DefaultParagraphFont"/>
    <w:uiPriority w:val="99"/>
    <w:semiHidden/>
    <w:unhideWhenUsed/>
    <w:rsid w:val="00DF6A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6ACA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6ACA"/>
    <w:rPr>
      <w:rFonts w:ascii="Adobe Jenson Pro" w:eastAsia="Times New Roman" w:hAnsi="Adobe Jenson Pro" w:cs="Times New Roman"/>
      <w:sz w:val="20"/>
      <w:szCs w:val="20"/>
      <w:lang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6A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6ACA"/>
    <w:rPr>
      <w:rFonts w:ascii="Adobe Jenson Pro" w:eastAsia="Times New Roman" w:hAnsi="Adobe Jenson Pro" w:cs="Times New Roman"/>
      <w:b/>
      <w:bCs/>
      <w:sz w:val="20"/>
      <w:szCs w:val="20"/>
      <w:lang w:bidi="he-IL"/>
    </w:rPr>
  </w:style>
  <w:style w:type="character" w:styleId="Hyperlink">
    <w:name w:val="Hyperlink"/>
    <w:basedOn w:val="DefaultParagraphFont"/>
    <w:uiPriority w:val="99"/>
    <w:unhideWhenUsed/>
    <w:rsid w:val="00B0275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0275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D76E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57BE9"/>
    <w:rPr>
      <w:rFonts w:ascii="Atkinson Hyperlegible" w:eastAsia="Atkinson Hyperlegible" w:hAnsi="Atkinson Hyperlegible" w:cs="Arial"/>
      <w:b/>
      <w:bCs/>
      <w:color w:val="0070C0"/>
      <w:sz w:val="28"/>
      <w:szCs w:val="28"/>
      <w:lang w:bidi="he-IL"/>
    </w:rPr>
  </w:style>
  <w:style w:type="character" w:customStyle="1" w:styleId="Heading1Char">
    <w:name w:val="Heading 1 Char"/>
    <w:basedOn w:val="DefaultParagraphFont"/>
    <w:link w:val="Heading1"/>
    <w:uiPriority w:val="9"/>
    <w:rsid w:val="00295C10"/>
    <w:rPr>
      <w:rFonts w:ascii="Arial" w:eastAsia="Times New Roman" w:hAnsi="Arial" w:cs="Arial"/>
      <w:b/>
      <w:bCs/>
      <w:sz w:val="40"/>
      <w:szCs w:val="40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E44C24"/>
    <w:rPr>
      <w:rFonts w:asciiTheme="majorHAnsi" w:eastAsiaTheme="majorEastAsia" w:hAnsiTheme="majorHAnsi" w:cstheme="majorBidi"/>
      <w:i/>
      <w:iCs/>
      <w:color w:val="6B0224" w:themeColor="accent1" w:themeShade="BF"/>
      <w:sz w:val="24"/>
      <w:szCs w:val="20"/>
      <w:lang w:bidi="he-IL"/>
    </w:rPr>
  </w:style>
  <w:style w:type="paragraph" w:styleId="Title">
    <w:name w:val="Title"/>
    <w:basedOn w:val="Normal"/>
    <w:next w:val="Normal"/>
    <w:link w:val="TitleChar"/>
    <w:uiPriority w:val="10"/>
    <w:qFormat/>
    <w:rsid w:val="00357885"/>
    <w:rPr>
      <w:rFonts w:ascii="ITC Kabel Std Book" w:hAnsi="ITC Kabel Std Book"/>
      <w:color w:val="002060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357885"/>
    <w:rPr>
      <w:rFonts w:ascii="ITC Kabel Std Book" w:eastAsia="Atkinson Hyperlegible" w:hAnsi="ITC Kabel Std Book" w:cs="Atkinson Hyperlegible"/>
      <w:color w:val="002060"/>
      <w:sz w:val="20"/>
      <w:szCs w:val="20"/>
      <w:lang w:bidi="he-IL"/>
    </w:rPr>
  </w:style>
  <w:style w:type="paragraph" w:styleId="Subtitle">
    <w:name w:val="Subtitle"/>
    <w:basedOn w:val="Title"/>
    <w:next w:val="Normal"/>
    <w:link w:val="SubtitleChar"/>
    <w:uiPriority w:val="11"/>
    <w:qFormat/>
    <w:rsid w:val="00357885"/>
  </w:style>
  <w:style w:type="character" w:customStyle="1" w:styleId="SubtitleChar">
    <w:name w:val="Subtitle Char"/>
    <w:basedOn w:val="DefaultParagraphFont"/>
    <w:link w:val="Subtitle"/>
    <w:uiPriority w:val="11"/>
    <w:rsid w:val="00357885"/>
    <w:rPr>
      <w:rFonts w:ascii="ITC Kabel Std Book" w:eastAsia="Atkinson Hyperlegible" w:hAnsi="ITC Kabel Std Book" w:cs="Atkinson Hyperlegible"/>
      <w:color w:val="002060"/>
      <w:sz w:val="20"/>
      <w:szCs w:val="20"/>
      <w:lang w:bidi="he-IL"/>
    </w:rPr>
  </w:style>
  <w:style w:type="paragraph" w:customStyle="1" w:styleId="TableParagraph">
    <w:name w:val="Table Paragraph"/>
    <w:basedOn w:val="Normal"/>
    <w:uiPriority w:val="1"/>
    <w:qFormat/>
    <w:rsid w:val="00484279"/>
    <w:pPr>
      <w:widowControl w:val="0"/>
      <w:autoSpaceDE w:val="0"/>
      <w:autoSpaceDN w:val="0"/>
    </w:pPr>
    <w:rPr>
      <w:rFonts w:ascii="Arial" w:eastAsia="Arial" w:hAnsi="Arial" w:cs="Arial"/>
      <w:lang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572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F0EE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9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a.gov/resources/effective-communicatio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da.gov/law-and-regs/design-standards/2010-stds/" TargetMode="External"/><Relationship Id="rId12" Type="http://schemas.openxmlformats.org/officeDocument/2006/relationships/hyperlink" Target="http://www.CenterForHearingAcces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data.org/factsheet/religious-entities-under-americans-disabilities-act" TargetMode="Externa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centerforhearingaccess.org/ada-standard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H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900331"/>
      </a:accent1>
      <a:accent2>
        <a:srgbClr val="319003"/>
      </a:accent2>
      <a:accent3>
        <a:srgbClr val="033190"/>
      </a:accent3>
      <a:accent4>
        <a:srgbClr val="002060"/>
      </a:accent4>
      <a:accent5>
        <a:srgbClr val="0274BE"/>
      </a:accent5>
      <a:accent6>
        <a:srgbClr val="E7E6E6"/>
      </a:accent6>
      <a:hlink>
        <a:srgbClr val="0000FF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431</Words>
  <Characters>2693</Characters>
  <Application>Microsoft Office Word</Application>
  <DocSecurity>0</DocSecurity>
  <Lines>107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Types of Places Required to have an Assistive Listening System under the ADA</vt:lpstr>
    </vt:vector>
  </TitlesOfParts>
  <Company>The John G. Shedd Institute for the Arts</Company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Types of Places Required to have an Assistive Listening System under the ADA</dc:title>
  <dc:subject/>
  <dc:creator>info@hearingloop.org</dc:creator>
  <cp:keywords/>
  <dc:description/>
  <cp:lastModifiedBy>Wynne Whyman</cp:lastModifiedBy>
  <cp:revision>59</cp:revision>
  <cp:lastPrinted>2025-05-31T04:41:00Z</cp:lastPrinted>
  <dcterms:created xsi:type="dcterms:W3CDTF">2024-07-30T17:12:00Z</dcterms:created>
  <dcterms:modified xsi:type="dcterms:W3CDTF">2026-02-20T03:15:00Z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57ef1b3a29353d5094ab460e2137093f8cd43130c906df75fb102191afeaac61</vt:lpwstr>
  </property>
</Properties>
</file>